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EB" w:rsidRPr="000937EB" w:rsidRDefault="000937EB" w:rsidP="000937EB">
      <w:pPr>
        <w:pStyle w:val="Ttulo3"/>
        <w:spacing w:before="0"/>
        <w:jc w:val="center"/>
        <w:rPr>
          <w:rFonts w:ascii="Tahoma" w:hAnsi="Tahoma" w:cs="Tahoma"/>
          <w:color w:val="auto"/>
          <w:sz w:val="24"/>
          <w:szCs w:val="24"/>
        </w:rPr>
      </w:pPr>
      <w:r w:rsidRPr="000937EB">
        <w:rPr>
          <w:rFonts w:ascii="Tahoma" w:hAnsi="Tahoma" w:cs="Tahoma"/>
          <w:color w:val="auto"/>
          <w:sz w:val="24"/>
          <w:szCs w:val="24"/>
        </w:rPr>
        <w:t>História do SEBRAE</w:t>
      </w:r>
    </w:p>
    <w:p w:rsidR="000937EB" w:rsidRPr="000937EB" w:rsidRDefault="000937EB" w:rsidP="000937EB">
      <w:pPr>
        <w:pStyle w:val="Ttulo3"/>
        <w:keepNext w:val="0"/>
        <w:keepLines w:val="0"/>
        <w:spacing w:before="0" w:line="240" w:lineRule="auto"/>
        <w:ind w:left="360"/>
        <w:jc w:val="center"/>
        <w:rPr>
          <w:rFonts w:ascii="Tahoma" w:hAnsi="Tahoma" w:cs="Tahoma"/>
          <w:b w:val="0"/>
          <w:bCs w:val="0"/>
          <w:color w:val="auto"/>
          <w:sz w:val="20"/>
          <w:szCs w:val="20"/>
        </w:rPr>
      </w:pPr>
    </w:p>
    <w:p w:rsidR="000937EB" w:rsidRPr="000937EB" w:rsidRDefault="000937EB" w:rsidP="000937EB">
      <w:pPr>
        <w:pStyle w:val="NormalWeb"/>
        <w:spacing w:before="0" w:beforeAutospacing="0" w:after="150" w:afterAutospacing="0"/>
        <w:jc w:val="both"/>
        <w:rPr>
          <w:rFonts w:ascii="Tahoma" w:hAnsi="Tahoma" w:cs="Tahoma"/>
          <w:sz w:val="20"/>
          <w:szCs w:val="20"/>
        </w:rPr>
      </w:pPr>
      <w:r w:rsidRPr="000937EB">
        <w:rPr>
          <w:rStyle w:val="Forte"/>
          <w:rFonts w:ascii="Tahoma" w:hAnsi="Tahoma" w:cs="Tahoma"/>
          <w:sz w:val="20"/>
          <w:szCs w:val="20"/>
        </w:rPr>
        <w:t> </w:t>
      </w:r>
      <w:r w:rsidRPr="000937EB">
        <w:rPr>
          <w:rFonts w:ascii="Tahoma" w:hAnsi="Tahoma" w:cs="Tahoma"/>
          <w:sz w:val="20"/>
          <w:szCs w:val="20"/>
        </w:rPr>
        <w:t xml:space="preserve">Apesar de todas as mudanças de nome e de organização que fizeram parte da história da instituição, o sistema </w:t>
      </w:r>
      <w:proofErr w:type="gramStart"/>
      <w:r w:rsidRPr="000937EB">
        <w:rPr>
          <w:rFonts w:ascii="Tahoma" w:hAnsi="Tahoma" w:cs="Tahoma"/>
          <w:sz w:val="20"/>
          <w:szCs w:val="20"/>
        </w:rPr>
        <w:t>Sebrae</w:t>
      </w:r>
      <w:proofErr w:type="gramEnd"/>
      <w:r w:rsidRPr="000937EB">
        <w:rPr>
          <w:rFonts w:ascii="Tahoma" w:hAnsi="Tahoma" w:cs="Tahoma"/>
          <w:sz w:val="20"/>
          <w:szCs w:val="20"/>
        </w:rPr>
        <w:t xml:space="preserve"> manteve-se firme ao propósito de auxiliar micro e pequenas empresas de todo o país e fomentar seu desenvolvimento.</w:t>
      </w:r>
    </w:p>
    <w:p w:rsidR="000937EB" w:rsidRPr="000937EB" w:rsidRDefault="000937EB" w:rsidP="000937EB">
      <w:pPr>
        <w:pStyle w:val="NormalWeb"/>
        <w:spacing w:before="0" w:beforeAutospacing="0" w:after="150" w:afterAutospacing="0"/>
        <w:jc w:val="both"/>
        <w:rPr>
          <w:rFonts w:ascii="Tahoma" w:hAnsi="Tahoma" w:cs="Tahoma"/>
          <w:sz w:val="20"/>
          <w:szCs w:val="20"/>
        </w:rPr>
      </w:pPr>
      <w:r w:rsidRPr="000937EB">
        <w:rPr>
          <w:rFonts w:ascii="Tahoma" w:hAnsi="Tahoma" w:cs="Tahoma"/>
          <w:sz w:val="20"/>
          <w:szCs w:val="20"/>
        </w:rPr>
        <w:br/>
        <w:t xml:space="preserve">O </w:t>
      </w:r>
      <w:proofErr w:type="gramStart"/>
      <w:r w:rsidRPr="000937EB">
        <w:rPr>
          <w:rFonts w:ascii="Tahoma" w:hAnsi="Tahoma" w:cs="Tahoma"/>
          <w:sz w:val="20"/>
          <w:szCs w:val="20"/>
        </w:rPr>
        <w:t>Sebrae</w:t>
      </w:r>
      <w:proofErr w:type="gramEnd"/>
      <w:r w:rsidRPr="000937EB">
        <w:rPr>
          <w:rFonts w:ascii="Tahoma" w:hAnsi="Tahoma" w:cs="Tahoma"/>
          <w:sz w:val="20"/>
          <w:szCs w:val="20"/>
        </w:rPr>
        <w:t xml:space="preserve"> existe como instituição desde 1972, mas sua história começa quase uma década antes. Em 1964, o então Banco Nacional de Desenvolvimento Econômico (BNDE), atual Banco Nacional de Desenvolvimento Econômico e Social (BNDES), criou o Programa de Financiamento à Pequena e Média Empresa (</w:t>
      </w:r>
      <w:proofErr w:type="spellStart"/>
      <w:r w:rsidRPr="000937EB">
        <w:rPr>
          <w:rFonts w:ascii="Tahoma" w:hAnsi="Tahoma" w:cs="Tahoma"/>
          <w:sz w:val="20"/>
          <w:szCs w:val="20"/>
        </w:rPr>
        <w:t>Fipeme</w:t>
      </w:r>
      <w:proofErr w:type="spellEnd"/>
      <w:r w:rsidRPr="000937EB">
        <w:rPr>
          <w:rFonts w:ascii="Tahoma" w:hAnsi="Tahoma" w:cs="Tahoma"/>
          <w:sz w:val="20"/>
          <w:szCs w:val="20"/>
        </w:rPr>
        <w:t>) e o Fundo de Desenvolvimento Técnico-Científico (</w:t>
      </w:r>
      <w:proofErr w:type="spellStart"/>
      <w:r w:rsidRPr="000937EB">
        <w:rPr>
          <w:rFonts w:ascii="Tahoma" w:hAnsi="Tahoma" w:cs="Tahoma"/>
          <w:sz w:val="20"/>
          <w:szCs w:val="20"/>
        </w:rPr>
        <w:t>Funtec</w:t>
      </w:r>
      <w:proofErr w:type="spellEnd"/>
      <w:r w:rsidRPr="000937EB">
        <w:rPr>
          <w:rFonts w:ascii="Tahoma" w:hAnsi="Tahoma" w:cs="Tahoma"/>
          <w:sz w:val="20"/>
          <w:szCs w:val="20"/>
        </w:rPr>
        <w:t>), atual Financiadora de Estudos e Projetos (</w:t>
      </w:r>
      <w:proofErr w:type="gramStart"/>
      <w:r w:rsidRPr="000937EB">
        <w:rPr>
          <w:rFonts w:ascii="Tahoma" w:hAnsi="Tahoma" w:cs="Tahoma"/>
          <w:sz w:val="20"/>
          <w:szCs w:val="20"/>
        </w:rPr>
        <w:t>Finep</w:t>
      </w:r>
      <w:proofErr w:type="gramEnd"/>
      <w:r w:rsidRPr="000937EB">
        <w:rPr>
          <w:rFonts w:ascii="Tahoma" w:hAnsi="Tahoma" w:cs="Tahoma"/>
          <w:sz w:val="20"/>
          <w:szCs w:val="20"/>
        </w:rPr>
        <w:t>).</w:t>
      </w:r>
    </w:p>
    <w:p w:rsidR="000937EB" w:rsidRPr="000937EB" w:rsidRDefault="000937EB" w:rsidP="000937EB">
      <w:pPr>
        <w:pStyle w:val="NormalWeb"/>
        <w:spacing w:before="0" w:beforeAutospacing="0" w:after="150" w:afterAutospacing="0"/>
        <w:jc w:val="both"/>
        <w:rPr>
          <w:rFonts w:ascii="Tahoma" w:hAnsi="Tahoma" w:cs="Tahoma"/>
          <w:sz w:val="20"/>
          <w:szCs w:val="20"/>
        </w:rPr>
      </w:pPr>
      <w:r w:rsidRPr="000937EB">
        <w:rPr>
          <w:rFonts w:ascii="Tahoma" w:hAnsi="Tahoma" w:cs="Tahoma"/>
          <w:sz w:val="20"/>
          <w:szCs w:val="20"/>
        </w:rPr>
        <w:br/>
        <w:t xml:space="preserve">O </w:t>
      </w:r>
      <w:proofErr w:type="spellStart"/>
      <w:r w:rsidRPr="000937EB">
        <w:rPr>
          <w:rFonts w:ascii="Tahoma" w:hAnsi="Tahoma" w:cs="Tahoma"/>
          <w:sz w:val="20"/>
          <w:szCs w:val="20"/>
        </w:rPr>
        <w:t>Fipeme</w:t>
      </w:r>
      <w:proofErr w:type="spellEnd"/>
      <w:r w:rsidRPr="000937EB">
        <w:rPr>
          <w:rFonts w:ascii="Tahoma" w:hAnsi="Tahoma" w:cs="Tahoma"/>
          <w:sz w:val="20"/>
          <w:szCs w:val="20"/>
        </w:rPr>
        <w:t xml:space="preserve"> e o </w:t>
      </w:r>
      <w:proofErr w:type="spellStart"/>
      <w:r w:rsidRPr="000937EB">
        <w:rPr>
          <w:rFonts w:ascii="Tahoma" w:hAnsi="Tahoma" w:cs="Tahoma"/>
          <w:sz w:val="20"/>
          <w:szCs w:val="20"/>
        </w:rPr>
        <w:t>Funtec</w:t>
      </w:r>
      <w:proofErr w:type="spellEnd"/>
      <w:r w:rsidRPr="000937EB">
        <w:rPr>
          <w:rFonts w:ascii="Tahoma" w:hAnsi="Tahoma" w:cs="Tahoma"/>
          <w:sz w:val="20"/>
          <w:szCs w:val="20"/>
        </w:rPr>
        <w:t xml:space="preserve"> formavam o Departamento de Operações Especiais do BNDE, no qual foi montado um sistema de apoio gerencial às micro e pequenas empresas. Em uma pesquisa, foi identificado que a má gestão dos negócios estava diretamente relacionada com os altos índices de inadimplência nos contratos de financiamento celebrados com o banco.</w:t>
      </w:r>
    </w:p>
    <w:p w:rsidR="000937EB" w:rsidRPr="000937EB" w:rsidRDefault="000937EB" w:rsidP="000937EB">
      <w:pPr>
        <w:pStyle w:val="NormalWeb"/>
        <w:spacing w:before="0" w:beforeAutospacing="0" w:after="150" w:afterAutospacing="0"/>
        <w:jc w:val="both"/>
        <w:rPr>
          <w:rFonts w:ascii="Tahoma" w:hAnsi="Tahoma" w:cs="Tahoma"/>
          <w:sz w:val="20"/>
          <w:szCs w:val="20"/>
        </w:rPr>
      </w:pPr>
      <w:r w:rsidRPr="000937EB">
        <w:rPr>
          <w:rFonts w:ascii="Tahoma" w:hAnsi="Tahoma" w:cs="Tahoma"/>
          <w:sz w:val="20"/>
          <w:szCs w:val="20"/>
        </w:rPr>
        <w:br/>
        <w:t>Em 1967, a Superintendência de Desenvolvimento do Nordeste (</w:t>
      </w:r>
      <w:proofErr w:type="gramStart"/>
      <w:r w:rsidRPr="000937EB">
        <w:rPr>
          <w:rFonts w:ascii="Tahoma" w:hAnsi="Tahoma" w:cs="Tahoma"/>
          <w:sz w:val="20"/>
          <w:szCs w:val="20"/>
        </w:rPr>
        <w:t>Sudene</w:t>
      </w:r>
      <w:proofErr w:type="gramEnd"/>
      <w:r w:rsidRPr="000937EB">
        <w:rPr>
          <w:rFonts w:ascii="Tahoma" w:hAnsi="Tahoma" w:cs="Tahoma"/>
          <w:sz w:val="20"/>
          <w:szCs w:val="20"/>
        </w:rPr>
        <w:t xml:space="preserve">) instituiu, nos estados da região, os núcleos de assistência industrial (NAI) com o objetivo de prestar consultoria gerencial às empresas de pequeno porte. Os NAI foram embriões do trabalho que futuramente seria realizado pelo </w:t>
      </w:r>
      <w:proofErr w:type="gramStart"/>
      <w:r w:rsidRPr="000937EB">
        <w:rPr>
          <w:rFonts w:ascii="Tahoma" w:hAnsi="Tahoma" w:cs="Tahoma"/>
          <w:sz w:val="20"/>
          <w:szCs w:val="20"/>
        </w:rPr>
        <w:t>Sebrae</w:t>
      </w:r>
      <w:proofErr w:type="gramEnd"/>
      <w:r w:rsidRPr="000937EB">
        <w:rPr>
          <w:rFonts w:ascii="Tahoma" w:hAnsi="Tahoma" w:cs="Tahoma"/>
          <w:sz w:val="20"/>
          <w:szCs w:val="20"/>
        </w:rPr>
        <w:t>.</w:t>
      </w:r>
    </w:p>
    <w:p w:rsidR="000937EB" w:rsidRPr="000937EB" w:rsidRDefault="000937EB" w:rsidP="000937EB">
      <w:pPr>
        <w:pStyle w:val="NormalWeb"/>
        <w:spacing w:before="0" w:beforeAutospacing="0" w:after="150" w:afterAutospacing="0"/>
        <w:jc w:val="both"/>
        <w:rPr>
          <w:rStyle w:val="Forte"/>
          <w:rFonts w:ascii="Tahoma" w:hAnsi="Tahoma" w:cs="Tahoma"/>
          <w:sz w:val="20"/>
          <w:szCs w:val="20"/>
        </w:rPr>
      </w:pPr>
      <w:r w:rsidRPr="000937EB">
        <w:rPr>
          <w:rFonts w:ascii="Tahoma" w:hAnsi="Tahoma" w:cs="Tahoma"/>
          <w:sz w:val="20"/>
          <w:szCs w:val="20"/>
        </w:rPr>
        <w:br/>
      </w:r>
      <w:proofErr w:type="gramStart"/>
      <w:r w:rsidRPr="000937EB">
        <w:rPr>
          <w:rStyle w:val="Forte"/>
          <w:rFonts w:ascii="Tahoma" w:hAnsi="Tahoma" w:cs="Tahoma"/>
          <w:sz w:val="20"/>
          <w:szCs w:val="20"/>
        </w:rPr>
        <w:t>Sebrae</w:t>
      </w:r>
      <w:proofErr w:type="gramEnd"/>
      <w:r w:rsidRPr="000937EB">
        <w:rPr>
          <w:rStyle w:val="Forte"/>
          <w:rFonts w:ascii="Tahoma" w:hAnsi="Tahoma" w:cs="Tahoma"/>
          <w:sz w:val="20"/>
          <w:szCs w:val="20"/>
        </w:rPr>
        <w:t xml:space="preserve"> com “C”</w:t>
      </w:r>
    </w:p>
    <w:p w:rsidR="000937EB" w:rsidRPr="000937EB" w:rsidRDefault="000937EB" w:rsidP="000937EB">
      <w:pPr>
        <w:pStyle w:val="NormalWeb"/>
        <w:spacing w:before="0" w:beforeAutospacing="0" w:after="150" w:afterAutospacing="0"/>
        <w:jc w:val="both"/>
        <w:rPr>
          <w:rFonts w:ascii="Tahoma" w:hAnsi="Tahoma" w:cs="Tahoma"/>
          <w:sz w:val="20"/>
          <w:szCs w:val="20"/>
        </w:rPr>
      </w:pPr>
      <w:r w:rsidRPr="000937EB">
        <w:rPr>
          <w:rFonts w:ascii="Tahoma" w:hAnsi="Tahoma" w:cs="Tahoma"/>
          <w:sz w:val="20"/>
          <w:szCs w:val="20"/>
        </w:rPr>
        <w:br/>
        <w:t>Em 17 de julho de 1972, por iniciativa do BNDE e do Ministério do Planejamento, foi criado o Centro Brasileiro de Assistência Gerencial à Pequena Empresa (</w:t>
      </w:r>
      <w:proofErr w:type="spellStart"/>
      <w:r w:rsidRPr="000937EB">
        <w:rPr>
          <w:rFonts w:ascii="Tahoma" w:hAnsi="Tahoma" w:cs="Tahoma"/>
          <w:sz w:val="20"/>
          <w:szCs w:val="20"/>
        </w:rPr>
        <w:t>Cebrae</w:t>
      </w:r>
      <w:proofErr w:type="spellEnd"/>
      <w:r w:rsidRPr="000937EB">
        <w:rPr>
          <w:rFonts w:ascii="Tahoma" w:hAnsi="Tahoma" w:cs="Tahoma"/>
          <w:sz w:val="20"/>
          <w:szCs w:val="20"/>
        </w:rPr>
        <w:t xml:space="preserve">). O Conselho Deliberativo do </w:t>
      </w:r>
      <w:proofErr w:type="spellStart"/>
      <w:r w:rsidRPr="000937EB">
        <w:rPr>
          <w:rFonts w:ascii="Tahoma" w:hAnsi="Tahoma" w:cs="Tahoma"/>
          <w:sz w:val="20"/>
          <w:szCs w:val="20"/>
        </w:rPr>
        <w:t>Cebrae</w:t>
      </w:r>
      <w:proofErr w:type="spellEnd"/>
      <w:r w:rsidRPr="000937EB">
        <w:rPr>
          <w:rFonts w:ascii="Tahoma" w:hAnsi="Tahoma" w:cs="Tahoma"/>
          <w:sz w:val="20"/>
          <w:szCs w:val="20"/>
        </w:rPr>
        <w:t xml:space="preserve"> com “C” contava com a </w:t>
      </w:r>
      <w:proofErr w:type="gramStart"/>
      <w:r w:rsidRPr="000937EB">
        <w:rPr>
          <w:rFonts w:ascii="Tahoma" w:hAnsi="Tahoma" w:cs="Tahoma"/>
          <w:sz w:val="20"/>
          <w:szCs w:val="20"/>
        </w:rPr>
        <w:t>Finep</w:t>
      </w:r>
      <w:proofErr w:type="gramEnd"/>
      <w:r w:rsidRPr="000937EB">
        <w:rPr>
          <w:rFonts w:ascii="Tahoma" w:hAnsi="Tahoma" w:cs="Tahoma"/>
          <w:sz w:val="20"/>
          <w:szCs w:val="20"/>
        </w:rPr>
        <w:t xml:space="preserve">, a Associação dos Bancos de Desenvolvimento (ABDE) e o próprio BNDE. O início dos trabalhos se deu com o credenciamento de entidades parceiras nos estados, como o </w:t>
      </w:r>
      <w:proofErr w:type="spellStart"/>
      <w:r w:rsidRPr="000937EB">
        <w:rPr>
          <w:rFonts w:ascii="Tahoma" w:hAnsi="Tahoma" w:cs="Tahoma"/>
          <w:sz w:val="20"/>
          <w:szCs w:val="20"/>
        </w:rPr>
        <w:t>Ibacesc</w:t>
      </w:r>
      <w:proofErr w:type="spellEnd"/>
      <w:r w:rsidRPr="000937EB">
        <w:rPr>
          <w:rFonts w:ascii="Tahoma" w:hAnsi="Tahoma" w:cs="Tahoma"/>
          <w:sz w:val="20"/>
          <w:szCs w:val="20"/>
        </w:rPr>
        <w:t xml:space="preserve"> (SC), o </w:t>
      </w:r>
      <w:proofErr w:type="spellStart"/>
      <w:r w:rsidRPr="000937EB">
        <w:rPr>
          <w:rFonts w:ascii="Tahoma" w:hAnsi="Tahoma" w:cs="Tahoma"/>
          <w:sz w:val="20"/>
          <w:szCs w:val="20"/>
        </w:rPr>
        <w:t>Cedin</w:t>
      </w:r>
      <w:proofErr w:type="spellEnd"/>
      <w:r w:rsidRPr="000937EB">
        <w:rPr>
          <w:rFonts w:ascii="Tahoma" w:hAnsi="Tahoma" w:cs="Tahoma"/>
          <w:sz w:val="20"/>
          <w:szCs w:val="20"/>
        </w:rPr>
        <w:t xml:space="preserve"> (BA), o </w:t>
      </w:r>
      <w:proofErr w:type="spellStart"/>
      <w:r w:rsidRPr="000937EB">
        <w:rPr>
          <w:rFonts w:ascii="Tahoma" w:hAnsi="Tahoma" w:cs="Tahoma"/>
          <w:sz w:val="20"/>
          <w:szCs w:val="20"/>
        </w:rPr>
        <w:t>Ideg</w:t>
      </w:r>
      <w:proofErr w:type="spellEnd"/>
      <w:r w:rsidRPr="000937EB">
        <w:rPr>
          <w:rFonts w:ascii="Tahoma" w:hAnsi="Tahoma" w:cs="Tahoma"/>
          <w:sz w:val="20"/>
          <w:szCs w:val="20"/>
        </w:rPr>
        <w:t xml:space="preserve"> (RJ), o Ideies (ES), o CDNL (RJ) e o CEAG (MG).</w:t>
      </w:r>
    </w:p>
    <w:p w:rsidR="000937EB" w:rsidRPr="000937EB" w:rsidRDefault="000937EB" w:rsidP="000937EB">
      <w:pPr>
        <w:pStyle w:val="NormalWeb"/>
        <w:spacing w:before="0" w:beforeAutospacing="0" w:after="150" w:afterAutospacing="0"/>
        <w:jc w:val="both"/>
        <w:rPr>
          <w:rFonts w:ascii="Tahoma" w:hAnsi="Tahoma" w:cs="Tahoma"/>
          <w:sz w:val="20"/>
          <w:szCs w:val="20"/>
        </w:rPr>
      </w:pPr>
      <w:r w:rsidRPr="000937EB">
        <w:rPr>
          <w:rFonts w:ascii="Tahoma" w:hAnsi="Tahoma" w:cs="Tahoma"/>
          <w:sz w:val="20"/>
          <w:szCs w:val="20"/>
        </w:rPr>
        <w:br/>
        <w:t xml:space="preserve">Dois anos depois, em 1974, o </w:t>
      </w:r>
      <w:proofErr w:type="spellStart"/>
      <w:r w:rsidRPr="000937EB">
        <w:rPr>
          <w:rFonts w:ascii="Tahoma" w:hAnsi="Tahoma" w:cs="Tahoma"/>
          <w:sz w:val="20"/>
          <w:szCs w:val="20"/>
        </w:rPr>
        <w:t>Cebrae</w:t>
      </w:r>
      <w:proofErr w:type="spellEnd"/>
      <w:r w:rsidRPr="000937EB">
        <w:rPr>
          <w:rFonts w:ascii="Tahoma" w:hAnsi="Tahoma" w:cs="Tahoma"/>
          <w:sz w:val="20"/>
          <w:szCs w:val="20"/>
        </w:rPr>
        <w:t xml:space="preserve"> já contava com 230 colaboradores, dos quais apenas sete no núcleo central, e estava presente em 19 estados. Em 1977, a instituição atuava com programas específicos para as pequenas e médias empresas. Em 1979, havia formado </w:t>
      </w:r>
      <w:proofErr w:type="gramStart"/>
      <w:r w:rsidRPr="000937EB">
        <w:rPr>
          <w:rFonts w:ascii="Tahoma" w:hAnsi="Tahoma" w:cs="Tahoma"/>
          <w:sz w:val="20"/>
          <w:szCs w:val="20"/>
        </w:rPr>
        <w:t>1</w:t>
      </w:r>
      <w:proofErr w:type="gramEnd"/>
      <w:r w:rsidRPr="000937EB">
        <w:rPr>
          <w:rFonts w:ascii="Tahoma" w:hAnsi="Tahoma" w:cs="Tahoma"/>
          <w:sz w:val="20"/>
          <w:szCs w:val="20"/>
        </w:rPr>
        <w:t xml:space="preserve"> mil e 200 consultores especializados em micro, pequenas e médias empresas. No final dos anos 70, programas como </w:t>
      </w:r>
      <w:proofErr w:type="spellStart"/>
      <w:r w:rsidRPr="000937EB">
        <w:rPr>
          <w:rFonts w:ascii="Tahoma" w:hAnsi="Tahoma" w:cs="Tahoma"/>
          <w:sz w:val="20"/>
          <w:szCs w:val="20"/>
        </w:rPr>
        <w:t>Promicro</w:t>
      </w:r>
      <w:proofErr w:type="spellEnd"/>
      <w:r w:rsidRPr="000937E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0937EB">
        <w:rPr>
          <w:rFonts w:ascii="Tahoma" w:hAnsi="Tahoma" w:cs="Tahoma"/>
          <w:sz w:val="20"/>
          <w:szCs w:val="20"/>
        </w:rPr>
        <w:t>Pronagro</w:t>
      </w:r>
      <w:proofErr w:type="spellEnd"/>
      <w:r w:rsidRPr="000937EB">
        <w:rPr>
          <w:rFonts w:ascii="Tahoma" w:hAnsi="Tahoma" w:cs="Tahoma"/>
          <w:sz w:val="20"/>
          <w:szCs w:val="20"/>
        </w:rPr>
        <w:t xml:space="preserve"> e </w:t>
      </w:r>
      <w:proofErr w:type="spellStart"/>
      <w:r w:rsidRPr="000937EB">
        <w:rPr>
          <w:rFonts w:ascii="Tahoma" w:hAnsi="Tahoma" w:cs="Tahoma"/>
          <w:sz w:val="20"/>
          <w:szCs w:val="20"/>
        </w:rPr>
        <w:t>Propec</w:t>
      </w:r>
      <w:proofErr w:type="spellEnd"/>
      <w:r w:rsidRPr="000937EB">
        <w:rPr>
          <w:rFonts w:ascii="Tahoma" w:hAnsi="Tahoma" w:cs="Tahoma"/>
          <w:sz w:val="20"/>
          <w:szCs w:val="20"/>
        </w:rPr>
        <w:t xml:space="preserve"> levaram aos empresários o atendimento de que necessitavam nas áreas de tecnologia, crédito e mercado. A partir de 1982, o </w:t>
      </w:r>
      <w:proofErr w:type="spellStart"/>
      <w:r w:rsidRPr="000937EB">
        <w:rPr>
          <w:rFonts w:ascii="Tahoma" w:hAnsi="Tahoma" w:cs="Tahoma"/>
          <w:sz w:val="20"/>
          <w:szCs w:val="20"/>
        </w:rPr>
        <w:t>Cebrae</w:t>
      </w:r>
      <w:proofErr w:type="spellEnd"/>
      <w:r w:rsidRPr="000937EB">
        <w:rPr>
          <w:rFonts w:ascii="Tahoma" w:hAnsi="Tahoma" w:cs="Tahoma"/>
          <w:sz w:val="20"/>
          <w:szCs w:val="20"/>
        </w:rPr>
        <w:t xml:space="preserve"> passou a ter também uma atuação política. Nessa época, surgem </w:t>
      </w:r>
      <w:proofErr w:type="gramStart"/>
      <w:r w:rsidRPr="000937EB">
        <w:rPr>
          <w:rFonts w:ascii="Tahoma" w:hAnsi="Tahoma" w:cs="Tahoma"/>
          <w:sz w:val="20"/>
          <w:szCs w:val="20"/>
        </w:rPr>
        <w:t>as</w:t>
      </w:r>
      <w:proofErr w:type="gramEnd"/>
      <w:r w:rsidRPr="000937EB">
        <w:rPr>
          <w:rFonts w:ascii="Tahoma" w:hAnsi="Tahoma" w:cs="Tahoma"/>
          <w:sz w:val="20"/>
          <w:szCs w:val="20"/>
        </w:rPr>
        <w:t xml:space="preserve"> associações de empresários com força junto ao governo e as micro e pequenas empresas passam a reivindicar mais atenção governamental. O </w:t>
      </w:r>
      <w:proofErr w:type="spellStart"/>
      <w:r w:rsidRPr="000937EB">
        <w:rPr>
          <w:rFonts w:ascii="Tahoma" w:hAnsi="Tahoma" w:cs="Tahoma"/>
          <w:sz w:val="20"/>
          <w:szCs w:val="20"/>
        </w:rPr>
        <w:t>Cebrae</w:t>
      </w:r>
      <w:proofErr w:type="spellEnd"/>
      <w:r w:rsidRPr="000937EB">
        <w:rPr>
          <w:rFonts w:ascii="Tahoma" w:hAnsi="Tahoma" w:cs="Tahoma"/>
          <w:sz w:val="20"/>
          <w:szCs w:val="20"/>
        </w:rPr>
        <w:t xml:space="preserve"> serve como canal entre as empresas e os demais órgãos públicos no encaminhamento das questões ligadas ao setor. É também deste ano que ocorre a criação dos programas de desenvolvimento regional. Investiu-se muito em pesquisa para elaboração de diagnósticos setoriais que fundamentassem a ação nos estados.</w:t>
      </w:r>
    </w:p>
    <w:p w:rsidR="000937EB" w:rsidRPr="000937EB" w:rsidRDefault="000937EB" w:rsidP="000937EB">
      <w:pPr>
        <w:pStyle w:val="NormalWeb"/>
        <w:spacing w:before="0" w:beforeAutospacing="0" w:after="150" w:afterAutospacing="0"/>
        <w:jc w:val="both"/>
        <w:rPr>
          <w:rFonts w:ascii="Tahoma" w:hAnsi="Tahoma" w:cs="Tahoma"/>
          <w:sz w:val="20"/>
          <w:szCs w:val="20"/>
        </w:rPr>
      </w:pPr>
      <w:r w:rsidRPr="000937EB">
        <w:rPr>
          <w:rFonts w:ascii="Tahoma" w:hAnsi="Tahoma" w:cs="Tahoma"/>
          <w:sz w:val="20"/>
          <w:szCs w:val="20"/>
        </w:rPr>
        <w:br/>
        <w:t xml:space="preserve">Nos governos Sarney e Collor (1985-1990), o </w:t>
      </w:r>
      <w:proofErr w:type="spellStart"/>
      <w:r w:rsidRPr="000937EB">
        <w:rPr>
          <w:rFonts w:ascii="Tahoma" w:hAnsi="Tahoma" w:cs="Tahoma"/>
          <w:sz w:val="20"/>
          <w:szCs w:val="20"/>
        </w:rPr>
        <w:t>Cebrae</w:t>
      </w:r>
      <w:proofErr w:type="spellEnd"/>
      <w:r w:rsidRPr="000937EB">
        <w:rPr>
          <w:rFonts w:ascii="Tahoma" w:hAnsi="Tahoma" w:cs="Tahoma"/>
          <w:sz w:val="20"/>
          <w:szCs w:val="20"/>
        </w:rPr>
        <w:t xml:space="preserve"> enfrentou uma série de crises que o enfraqueceu como instituição. Neste período, sua vinculação passou do Ministério do Planejamento para o Ministério da Indústria e Comércio (MDIC). Com grande instabilidade orçamentária, muitos técnicos deixaram a instituição. Em 1990, foram demitidos 110 profissionais, o que correspondia a 40% do seu pessoal.</w:t>
      </w:r>
    </w:p>
    <w:p w:rsidR="000937EB" w:rsidRPr="000937EB" w:rsidRDefault="000937EB" w:rsidP="000937EB">
      <w:pPr>
        <w:pStyle w:val="NormalWeb"/>
        <w:spacing w:before="0" w:beforeAutospacing="0" w:after="150" w:afterAutospacing="0"/>
        <w:jc w:val="both"/>
        <w:rPr>
          <w:rFonts w:ascii="Tahoma" w:hAnsi="Tahoma" w:cs="Tahoma"/>
          <w:sz w:val="20"/>
          <w:szCs w:val="20"/>
        </w:rPr>
      </w:pPr>
      <w:r w:rsidRPr="000937EB">
        <w:rPr>
          <w:rFonts w:ascii="Tahoma" w:hAnsi="Tahoma" w:cs="Tahoma"/>
          <w:sz w:val="20"/>
          <w:szCs w:val="20"/>
        </w:rPr>
        <w:br/>
      </w:r>
      <w:r w:rsidRPr="000937EB">
        <w:rPr>
          <w:rStyle w:val="Forte"/>
          <w:rFonts w:ascii="Tahoma" w:hAnsi="Tahoma" w:cs="Tahoma"/>
          <w:sz w:val="20"/>
          <w:szCs w:val="20"/>
        </w:rPr>
        <w:t>Fortalecimento</w:t>
      </w:r>
      <w:r w:rsidRPr="000937EB">
        <w:rPr>
          <w:rFonts w:ascii="Tahoma" w:hAnsi="Tahoma" w:cs="Tahoma"/>
          <w:sz w:val="20"/>
          <w:szCs w:val="20"/>
        </w:rPr>
        <w:br/>
      </w:r>
      <w:r w:rsidRPr="000937EB">
        <w:rPr>
          <w:rFonts w:ascii="Tahoma" w:hAnsi="Tahoma" w:cs="Tahoma"/>
          <w:sz w:val="20"/>
          <w:szCs w:val="20"/>
        </w:rPr>
        <w:br/>
        <w:t xml:space="preserve">Em </w:t>
      </w:r>
      <w:proofErr w:type="gramStart"/>
      <w:r w:rsidRPr="000937EB">
        <w:rPr>
          <w:rFonts w:ascii="Tahoma" w:hAnsi="Tahoma" w:cs="Tahoma"/>
          <w:sz w:val="20"/>
          <w:szCs w:val="20"/>
        </w:rPr>
        <w:t>9</w:t>
      </w:r>
      <w:proofErr w:type="gramEnd"/>
      <w:r w:rsidRPr="000937EB">
        <w:rPr>
          <w:rFonts w:ascii="Tahoma" w:hAnsi="Tahoma" w:cs="Tahoma"/>
          <w:sz w:val="20"/>
          <w:szCs w:val="20"/>
        </w:rPr>
        <w:t xml:space="preserve"> de outubro de 1990, o </w:t>
      </w:r>
      <w:proofErr w:type="spellStart"/>
      <w:r w:rsidRPr="000937EB">
        <w:rPr>
          <w:rFonts w:ascii="Tahoma" w:hAnsi="Tahoma" w:cs="Tahoma"/>
          <w:sz w:val="20"/>
          <w:szCs w:val="20"/>
        </w:rPr>
        <w:t>Cebrae</w:t>
      </w:r>
      <w:proofErr w:type="spellEnd"/>
      <w:r w:rsidRPr="000937EB">
        <w:rPr>
          <w:rFonts w:ascii="Tahoma" w:hAnsi="Tahoma" w:cs="Tahoma"/>
          <w:sz w:val="20"/>
          <w:szCs w:val="20"/>
        </w:rPr>
        <w:t xml:space="preserve"> foi transformado em Sebrae pelo decreto nº 99.570, que complementa a Lei nº 8029, de 12 de abril. A entidade desvinculou-se da administração pública e transformou-se em uma instituição privada, sem fins lucrativos e de utilidade pública, mantida por repasses das maiores empresas do país, proporcionais ao valor de suas folhas de pagamento. De lá para cá, o </w:t>
      </w:r>
      <w:proofErr w:type="gramStart"/>
      <w:r w:rsidRPr="000937EB">
        <w:rPr>
          <w:rFonts w:ascii="Tahoma" w:hAnsi="Tahoma" w:cs="Tahoma"/>
          <w:sz w:val="20"/>
          <w:szCs w:val="20"/>
        </w:rPr>
        <w:t>Sebrae</w:t>
      </w:r>
      <w:proofErr w:type="gramEnd"/>
      <w:r w:rsidRPr="000937EB">
        <w:rPr>
          <w:rFonts w:ascii="Tahoma" w:hAnsi="Tahoma" w:cs="Tahoma"/>
          <w:sz w:val="20"/>
          <w:szCs w:val="20"/>
        </w:rPr>
        <w:t xml:space="preserve"> ampliou sua estrutura de atendimento para todos os estados do país, capacitou inúmeras pessoas e ajudou na criação e desenvolvimento de milhares de micro e pequenos negócios por todo o país.</w:t>
      </w:r>
    </w:p>
    <w:sectPr w:rsidR="000937EB" w:rsidRPr="000937EB" w:rsidSect="00F6137F">
      <w:pgSz w:w="11906" w:h="16838"/>
      <w:pgMar w:top="56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ABA"/>
    <w:multiLevelType w:val="multilevel"/>
    <w:tmpl w:val="0570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373D5"/>
    <w:multiLevelType w:val="multilevel"/>
    <w:tmpl w:val="206E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E7CBE"/>
    <w:multiLevelType w:val="multilevel"/>
    <w:tmpl w:val="AE88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6137F"/>
    <w:rsid w:val="000937EB"/>
    <w:rsid w:val="000E75D4"/>
    <w:rsid w:val="003C2BF4"/>
    <w:rsid w:val="007E61AE"/>
    <w:rsid w:val="00CA3432"/>
    <w:rsid w:val="00F6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432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37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har"/>
    <w:uiPriority w:val="9"/>
    <w:qFormat/>
    <w:rsid w:val="003C2B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-vermelho">
    <w:name w:val="texto-vermelho"/>
    <w:basedOn w:val="Fontepargpadro"/>
    <w:rsid w:val="00F6137F"/>
  </w:style>
  <w:style w:type="character" w:customStyle="1" w:styleId="apple-converted-space">
    <w:name w:val="apple-converted-space"/>
    <w:basedOn w:val="Fontepargpadro"/>
    <w:rsid w:val="00F6137F"/>
  </w:style>
  <w:style w:type="character" w:customStyle="1" w:styleId="Ttulo4Char">
    <w:name w:val="Título 4 Char"/>
    <w:basedOn w:val="Fontepargpadro"/>
    <w:link w:val="Ttulo4"/>
    <w:uiPriority w:val="9"/>
    <w:rsid w:val="003C2BF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3C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C2BF4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37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37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har"/>
    <w:uiPriority w:val="9"/>
    <w:qFormat/>
    <w:rsid w:val="003C2B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-vermelho">
    <w:name w:val="texto-vermelho"/>
    <w:basedOn w:val="Fontepargpadro"/>
    <w:rsid w:val="00F6137F"/>
  </w:style>
  <w:style w:type="character" w:customStyle="1" w:styleId="apple-converted-space">
    <w:name w:val="apple-converted-space"/>
    <w:basedOn w:val="Fontepargpadro"/>
    <w:rsid w:val="00F6137F"/>
  </w:style>
  <w:style w:type="character" w:customStyle="1" w:styleId="Ttulo4Char">
    <w:name w:val="Título 4 Char"/>
    <w:basedOn w:val="Fontepargpadro"/>
    <w:link w:val="Ttulo4"/>
    <w:uiPriority w:val="9"/>
    <w:rsid w:val="003C2BF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3C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C2BF4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37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Julio Queiroz</cp:lastModifiedBy>
  <cp:revision>2</cp:revision>
  <dcterms:created xsi:type="dcterms:W3CDTF">2017-01-25T19:58:00Z</dcterms:created>
  <dcterms:modified xsi:type="dcterms:W3CDTF">2017-01-25T19:58:00Z</dcterms:modified>
</cp:coreProperties>
</file>